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E9A" w:rsidRPr="00CC0ED4" w:rsidRDefault="00BA2E9A">
      <w:pPr>
        <w:pStyle w:val="ConsPlusTitle"/>
        <w:jc w:val="center"/>
        <w:outlineLvl w:val="0"/>
        <w:rPr>
          <w:color w:val="000000"/>
        </w:rPr>
      </w:pPr>
      <w:r w:rsidRPr="00CC0ED4">
        <w:rPr>
          <w:color w:val="000000"/>
        </w:rPr>
        <w:t>ДУМА МУНИЦИПАЛЬНОГО ОБРАЗОВАНИЯ -</w:t>
      </w:r>
    </w:p>
    <w:p w:rsidR="00BA2E9A" w:rsidRPr="00CC0ED4" w:rsidRDefault="00BA2E9A">
      <w:pPr>
        <w:pStyle w:val="ConsPlusTitle"/>
        <w:jc w:val="center"/>
        <w:rPr>
          <w:color w:val="000000"/>
        </w:rPr>
      </w:pPr>
      <w:r w:rsidRPr="00CC0ED4">
        <w:rPr>
          <w:color w:val="000000"/>
        </w:rPr>
        <w:t>СТАРОЖИЛОВСКИЙ МУНИЦИПАЛЬНЫЙ РАЙОН РЯЗАНСКОЙ ОБЛАСТИ</w:t>
      </w:r>
    </w:p>
    <w:p w:rsidR="00BA2E9A" w:rsidRPr="00CC0ED4" w:rsidRDefault="00BA2E9A">
      <w:pPr>
        <w:pStyle w:val="ConsPlusTitle"/>
        <w:jc w:val="center"/>
        <w:rPr>
          <w:color w:val="000000"/>
        </w:rPr>
      </w:pPr>
    </w:p>
    <w:p w:rsidR="00BA2E9A" w:rsidRPr="00CC0ED4" w:rsidRDefault="00BA2E9A">
      <w:pPr>
        <w:pStyle w:val="ConsPlusTitle"/>
        <w:jc w:val="center"/>
        <w:rPr>
          <w:color w:val="000000"/>
        </w:rPr>
      </w:pPr>
      <w:r w:rsidRPr="00CC0ED4">
        <w:rPr>
          <w:color w:val="000000"/>
        </w:rPr>
        <w:t>РЕШЕНИЕ</w:t>
      </w:r>
    </w:p>
    <w:p w:rsidR="00BA2E9A" w:rsidRPr="00CC0ED4" w:rsidRDefault="00BA2E9A">
      <w:pPr>
        <w:pStyle w:val="ConsPlusTitle"/>
        <w:jc w:val="center"/>
        <w:rPr>
          <w:color w:val="000000"/>
        </w:rPr>
      </w:pPr>
      <w:r w:rsidRPr="00CC0ED4">
        <w:rPr>
          <w:color w:val="000000"/>
        </w:rPr>
        <w:t xml:space="preserve">от 27 сентября </w:t>
      </w:r>
      <w:smartTag w:uri="urn:schemas-microsoft-com:office:smarttags" w:element="metricconverter">
        <w:smartTagPr>
          <w:attr w:name="ProductID" w:val="2019 г"/>
        </w:smartTagPr>
        <w:r w:rsidRPr="00CC0ED4">
          <w:rPr>
            <w:color w:val="000000"/>
          </w:rPr>
          <w:t>2019 г</w:t>
        </w:r>
      </w:smartTag>
      <w:r w:rsidRPr="00CC0ED4">
        <w:rPr>
          <w:color w:val="000000"/>
        </w:rPr>
        <w:t>. N 115</w:t>
      </w:r>
    </w:p>
    <w:p w:rsidR="00BA2E9A" w:rsidRPr="00CC0ED4" w:rsidRDefault="00BA2E9A">
      <w:pPr>
        <w:pStyle w:val="ConsPlusTitle"/>
        <w:jc w:val="center"/>
        <w:rPr>
          <w:color w:val="000000"/>
        </w:rPr>
      </w:pPr>
    </w:p>
    <w:p w:rsidR="00BA2E9A" w:rsidRPr="00CC0ED4" w:rsidRDefault="00BA2E9A">
      <w:pPr>
        <w:pStyle w:val="ConsPlusTitle"/>
        <w:jc w:val="center"/>
        <w:rPr>
          <w:color w:val="000000"/>
        </w:rPr>
      </w:pPr>
      <w:r w:rsidRPr="00CC0ED4">
        <w:rPr>
          <w:color w:val="000000"/>
        </w:rPr>
        <w:t>о корректирующем коэффициенте базовой доходности к2</w:t>
      </w:r>
    </w:p>
    <w:p w:rsidR="00BA2E9A" w:rsidRPr="00CC0ED4" w:rsidRDefault="00BA2E9A">
      <w:pPr>
        <w:pStyle w:val="ConsPlusTitle"/>
        <w:jc w:val="center"/>
        <w:rPr>
          <w:color w:val="000000"/>
        </w:rPr>
      </w:pPr>
      <w:r w:rsidRPr="00CC0ED4">
        <w:rPr>
          <w:color w:val="000000"/>
        </w:rPr>
        <w:t>для исчисления суммы единого налога на вмененный доход</w:t>
      </w:r>
    </w:p>
    <w:p w:rsidR="00BA2E9A" w:rsidRPr="00CC0ED4" w:rsidRDefault="00BA2E9A">
      <w:pPr>
        <w:pStyle w:val="ConsPlusTitle"/>
        <w:jc w:val="center"/>
        <w:rPr>
          <w:color w:val="000000"/>
        </w:rPr>
      </w:pPr>
      <w:r w:rsidRPr="00CC0ED4">
        <w:rPr>
          <w:color w:val="000000"/>
        </w:rPr>
        <w:t>для отдельных видов деятельности на территории</w:t>
      </w:r>
    </w:p>
    <w:p w:rsidR="00BA2E9A" w:rsidRPr="00CC0ED4" w:rsidRDefault="00BA2E9A">
      <w:pPr>
        <w:pStyle w:val="ConsPlusTitle"/>
        <w:jc w:val="center"/>
        <w:rPr>
          <w:color w:val="000000"/>
        </w:rPr>
      </w:pPr>
      <w:r w:rsidRPr="00CC0ED4">
        <w:rPr>
          <w:color w:val="000000"/>
        </w:rPr>
        <w:t>муниципального образования - старожиловский муниципальный</w:t>
      </w:r>
    </w:p>
    <w:p w:rsidR="00BA2E9A" w:rsidRPr="00CC0ED4" w:rsidRDefault="00BA2E9A">
      <w:pPr>
        <w:pStyle w:val="ConsPlusTitle"/>
        <w:jc w:val="center"/>
        <w:rPr>
          <w:color w:val="000000"/>
        </w:rPr>
      </w:pPr>
      <w:r w:rsidRPr="00CC0ED4">
        <w:rPr>
          <w:color w:val="000000"/>
        </w:rPr>
        <w:t>район рязанской области на 2020 год</w:t>
      </w:r>
    </w:p>
    <w:p w:rsidR="00BA2E9A" w:rsidRPr="00CC0ED4" w:rsidRDefault="00BA2E9A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A2E9A" w:rsidRPr="00CC0ED4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BA2E9A" w:rsidRPr="00CC0ED4" w:rsidRDefault="00BA2E9A">
            <w:pPr>
              <w:pStyle w:val="ConsPlusNormal"/>
              <w:jc w:val="center"/>
              <w:rPr>
                <w:color w:val="000000"/>
              </w:rPr>
            </w:pPr>
            <w:r w:rsidRPr="00CC0ED4">
              <w:rPr>
                <w:color w:val="000000"/>
              </w:rPr>
              <w:t>Список изменяющих документов</w:t>
            </w:r>
          </w:p>
          <w:p w:rsidR="00BA2E9A" w:rsidRPr="00CC0ED4" w:rsidRDefault="00BA2E9A">
            <w:pPr>
              <w:pStyle w:val="ConsPlusNormal"/>
              <w:jc w:val="center"/>
              <w:rPr>
                <w:color w:val="000000"/>
              </w:rPr>
            </w:pPr>
            <w:r w:rsidRPr="00CC0ED4">
              <w:rPr>
                <w:color w:val="000000"/>
              </w:rPr>
              <w:t xml:space="preserve">(в ред. </w:t>
            </w:r>
            <w:hyperlink r:id="rId4" w:history="1">
              <w:r w:rsidRPr="00CC0ED4">
                <w:rPr>
                  <w:color w:val="000000"/>
                </w:rPr>
                <w:t>Решения</w:t>
              </w:r>
            </w:hyperlink>
            <w:r w:rsidRPr="00CC0ED4">
              <w:rPr>
                <w:color w:val="000000"/>
              </w:rPr>
              <w:t xml:space="preserve"> Думы муниципального образования - Старожиловский</w:t>
            </w:r>
          </w:p>
          <w:p w:rsidR="00BA2E9A" w:rsidRPr="00CC0ED4" w:rsidRDefault="00BA2E9A">
            <w:pPr>
              <w:pStyle w:val="ConsPlusNormal"/>
              <w:jc w:val="center"/>
              <w:rPr>
                <w:color w:val="000000"/>
              </w:rPr>
            </w:pPr>
            <w:r w:rsidRPr="00CC0ED4">
              <w:rPr>
                <w:color w:val="000000"/>
              </w:rPr>
              <w:t>муниципальный район Рязанской области от 25.11.2019 N 126)</w:t>
            </w:r>
          </w:p>
        </w:tc>
      </w:tr>
    </w:tbl>
    <w:p w:rsidR="00BA2E9A" w:rsidRPr="00CC0ED4" w:rsidRDefault="00BA2E9A">
      <w:pPr>
        <w:pStyle w:val="ConsPlusNormal"/>
        <w:jc w:val="both"/>
        <w:rPr>
          <w:color w:val="000000"/>
        </w:rPr>
      </w:pPr>
    </w:p>
    <w:p w:rsidR="00BA2E9A" w:rsidRPr="00CC0ED4" w:rsidRDefault="00BA2E9A">
      <w:pPr>
        <w:pStyle w:val="ConsPlusNormal"/>
        <w:ind w:firstLine="540"/>
        <w:jc w:val="both"/>
        <w:rPr>
          <w:color w:val="000000"/>
        </w:rPr>
      </w:pPr>
      <w:r w:rsidRPr="00CC0ED4">
        <w:rPr>
          <w:color w:val="000000"/>
        </w:rPr>
        <w:t xml:space="preserve">В соответствии с </w:t>
      </w:r>
      <w:hyperlink r:id="rId5" w:history="1">
        <w:r w:rsidRPr="00CC0ED4">
          <w:rPr>
            <w:color w:val="000000"/>
          </w:rPr>
          <w:t>пунктом 3</w:t>
        </w:r>
      </w:hyperlink>
      <w:r w:rsidRPr="00CC0ED4">
        <w:rPr>
          <w:color w:val="000000"/>
        </w:rPr>
        <w:t xml:space="preserve"> решения Старожиловского районного Собрания депутатов от 22.11.2005 N 104 "О системе налогообложения в виде единого налога на вмененный доход для отдельных видов деятельности на территории Старожиловского муниципального района", руководствуясь </w:t>
      </w:r>
      <w:hyperlink r:id="rId6" w:history="1">
        <w:r w:rsidRPr="00CC0ED4">
          <w:rPr>
            <w:color w:val="000000"/>
          </w:rPr>
          <w:t>статьей 40</w:t>
        </w:r>
      </w:hyperlink>
      <w:r w:rsidRPr="00CC0ED4">
        <w:rPr>
          <w:color w:val="000000"/>
        </w:rPr>
        <w:t xml:space="preserve"> Устава муниципального образования - Старожиловский муниципальный район, Дума муниципального образования - Старожиловский муниципальный район Рязанской области решила: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>1. Установить значения корректирующих коэффициентов базовой доходности К2 для исчисления суммы единого налога на вмененный доход на 2020 год для следующих видов деятельности: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 xml:space="preserve">1) оказание бытовых услуг (коды видов деятельности в соответствии с Общероссийским </w:t>
      </w:r>
      <w:hyperlink r:id="rId7" w:history="1">
        <w:r w:rsidRPr="00CC0ED4">
          <w:rPr>
            <w:color w:val="000000"/>
          </w:rPr>
          <w:t>классификатором</w:t>
        </w:r>
      </w:hyperlink>
      <w:r w:rsidRPr="00CC0ED4">
        <w:rPr>
          <w:color w:val="000000"/>
        </w:rPr>
        <w:t xml:space="preserve"> видов экономической деятельности и коды услуг в соответствии с Общероссийским </w:t>
      </w:r>
      <w:hyperlink r:id="rId8" w:history="1">
        <w:r w:rsidRPr="00CC0ED4">
          <w:rPr>
            <w:color w:val="000000"/>
          </w:rPr>
          <w:t>классификатором</w:t>
        </w:r>
      </w:hyperlink>
      <w:r w:rsidRPr="00CC0ED4">
        <w:rPr>
          <w:color w:val="000000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Федерации) согласно </w:t>
      </w:r>
      <w:hyperlink w:anchor="P75" w:history="1">
        <w:r w:rsidRPr="00CC0ED4">
          <w:rPr>
            <w:color w:val="000000"/>
          </w:rPr>
          <w:t>приложению N 1</w:t>
        </w:r>
      </w:hyperlink>
      <w:r w:rsidRPr="00CC0ED4">
        <w:rPr>
          <w:color w:val="000000"/>
        </w:rPr>
        <w:t xml:space="preserve"> к настоящему решению;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 xml:space="preserve">2) оказание ветеринарных услуг согласно </w:t>
      </w:r>
      <w:hyperlink w:anchor="P256" w:history="1">
        <w:r w:rsidRPr="00CC0ED4">
          <w:rPr>
            <w:color w:val="000000"/>
          </w:rPr>
          <w:t>приложению N 2</w:t>
        </w:r>
      </w:hyperlink>
      <w:r w:rsidRPr="00CC0ED4">
        <w:rPr>
          <w:color w:val="000000"/>
        </w:rPr>
        <w:t xml:space="preserve"> к настоящему решению;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 xml:space="preserve">3) оказание услуг по ремонту, техническому обслуживанию и мойке автотранспортных средств согласно </w:t>
      </w:r>
      <w:hyperlink w:anchor="P327" w:history="1">
        <w:r w:rsidRPr="00CC0ED4">
          <w:rPr>
            <w:color w:val="000000"/>
          </w:rPr>
          <w:t>приложению N 3</w:t>
        </w:r>
      </w:hyperlink>
      <w:r w:rsidRPr="00CC0ED4">
        <w:rPr>
          <w:color w:val="000000"/>
        </w:rPr>
        <w:t xml:space="preserve"> к настоящему решению;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>4) розничная торговля, осуществляемая через магазины и павильоны с площадью торгового зала по каждому объекту организации торговли не более 150 квадратных метров, палатки, лотки и другие объекты организации торговли, в том числе не имеющие стационарной торговой площади, по следующим подвидам деятельности: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 xml:space="preserve">а) неспециализированной розничной торговле или розничной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375" w:history="1">
        <w:r w:rsidRPr="00CC0ED4">
          <w:rPr>
            <w:color w:val="000000"/>
          </w:rPr>
          <w:t>приложению N 4.1</w:t>
        </w:r>
      </w:hyperlink>
      <w:r w:rsidRPr="00CC0ED4">
        <w:rPr>
          <w:color w:val="000000"/>
        </w:rPr>
        <w:t xml:space="preserve"> к настоящему решению;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>б)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 xml:space="preserve">в) магазины, павильоны, имеющие торговые залы, согласно </w:t>
      </w:r>
      <w:hyperlink w:anchor="P511" w:history="1">
        <w:r w:rsidRPr="00CC0ED4">
          <w:rPr>
            <w:color w:val="000000"/>
          </w:rPr>
          <w:t>приложению N 4.2</w:t>
        </w:r>
      </w:hyperlink>
      <w:r w:rsidRPr="00CC0ED4">
        <w:rPr>
          <w:color w:val="000000"/>
        </w:rPr>
        <w:t xml:space="preserve"> к настоящему решению;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 xml:space="preserve">г) специализированной розничной торговле непродовольственными (промышленными)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706" w:history="1">
        <w:r w:rsidRPr="00CC0ED4">
          <w:rPr>
            <w:color w:val="000000"/>
          </w:rPr>
          <w:t>приложению N 4.3</w:t>
        </w:r>
      </w:hyperlink>
      <w:r w:rsidRPr="00CC0ED4">
        <w:rPr>
          <w:color w:val="000000"/>
        </w:rPr>
        <w:t xml:space="preserve"> к настоящему решению;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 xml:space="preserve">д) специализированной розничной торговле медицинскими товарами, осуществляемой через объекты стационарной торговой сети (аптеки), согласно </w:t>
      </w:r>
      <w:hyperlink w:anchor="P1459" w:history="1">
        <w:r w:rsidRPr="00CC0ED4">
          <w:rPr>
            <w:color w:val="000000"/>
          </w:rPr>
          <w:t>приложению N 4.4</w:t>
        </w:r>
      </w:hyperlink>
      <w:r w:rsidRPr="00CC0ED4">
        <w:rPr>
          <w:color w:val="000000"/>
        </w:rPr>
        <w:t xml:space="preserve"> к настоящему решению;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 xml:space="preserve">е) неспециализированной розничной торговле или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сети, имеющие торговые залы (с организацией торговых мест), согласно </w:t>
      </w:r>
      <w:hyperlink w:anchor="P1559" w:history="1">
        <w:r w:rsidRPr="00CC0ED4">
          <w:rPr>
            <w:color w:val="000000"/>
          </w:rPr>
          <w:t>приложению N 4.5</w:t>
        </w:r>
      </w:hyperlink>
      <w:r w:rsidRPr="00CC0ED4">
        <w:rPr>
          <w:color w:val="000000"/>
        </w:rPr>
        <w:t xml:space="preserve"> к настоящему решению;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 xml:space="preserve">ж)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1615" w:history="1">
        <w:r w:rsidRPr="00CC0ED4">
          <w:rPr>
            <w:color w:val="000000"/>
          </w:rPr>
          <w:t>приложению N 4.6</w:t>
        </w:r>
      </w:hyperlink>
      <w:r w:rsidRPr="00CC0ED4">
        <w:rPr>
          <w:color w:val="000000"/>
        </w:rPr>
        <w:t xml:space="preserve"> к настоящему решению;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 xml:space="preserve">з) специализированной розничной торговле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1737" w:history="1">
        <w:r w:rsidRPr="00CC0ED4">
          <w:rPr>
            <w:color w:val="000000"/>
          </w:rPr>
          <w:t>приложению N 4.7</w:t>
        </w:r>
      </w:hyperlink>
      <w:r w:rsidRPr="00CC0ED4">
        <w:rPr>
          <w:color w:val="000000"/>
        </w:rPr>
        <w:t xml:space="preserve"> к настоящему решению;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 xml:space="preserve">и) неспециализированной розничной торговле или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2046" w:history="1">
        <w:r w:rsidRPr="00CC0ED4">
          <w:rPr>
            <w:color w:val="000000"/>
          </w:rPr>
          <w:t>приложению N 4.8</w:t>
        </w:r>
      </w:hyperlink>
      <w:r w:rsidRPr="00CC0ED4">
        <w:rPr>
          <w:color w:val="000000"/>
        </w:rPr>
        <w:t xml:space="preserve"> к настоящему решению;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 xml:space="preserve">к)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2102" w:history="1">
        <w:r w:rsidRPr="00CC0ED4">
          <w:rPr>
            <w:color w:val="000000"/>
          </w:rPr>
          <w:t>приложению N 4.9</w:t>
        </w:r>
      </w:hyperlink>
      <w:r w:rsidRPr="00CC0ED4">
        <w:rPr>
          <w:color w:val="000000"/>
        </w:rPr>
        <w:t xml:space="preserve"> к настоящему решению;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 xml:space="preserve">л) специализированной розничной торговле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2227" w:history="1">
        <w:r w:rsidRPr="00CC0ED4">
          <w:rPr>
            <w:color w:val="000000"/>
          </w:rPr>
          <w:t>приложению N 4.10</w:t>
        </w:r>
      </w:hyperlink>
      <w:r w:rsidRPr="00CC0ED4">
        <w:rPr>
          <w:color w:val="000000"/>
        </w:rPr>
        <w:t xml:space="preserve"> к настоящему решению;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 xml:space="preserve">м) розничной специализированной торговле горюче-смазочными материалами (ГСМ), не относящимися к подакцизным товарам, осуществляемой через стационарные и нестационарные автозаправочные станции (АЗС), согласно </w:t>
      </w:r>
      <w:hyperlink w:anchor="P2530" w:history="1">
        <w:r w:rsidRPr="00CC0ED4">
          <w:rPr>
            <w:color w:val="000000"/>
          </w:rPr>
          <w:t>приложению N 4.11</w:t>
        </w:r>
      </w:hyperlink>
      <w:r w:rsidRPr="00CC0ED4">
        <w:rPr>
          <w:color w:val="000000"/>
        </w:rPr>
        <w:t xml:space="preserve"> к настоящему решению;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 xml:space="preserve">н) разносной торговле, осуществляемой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согласно </w:t>
      </w:r>
      <w:hyperlink w:anchor="P2572" w:history="1">
        <w:r w:rsidRPr="00CC0ED4">
          <w:rPr>
            <w:color w:val="000000"/>
          </w:rPr>
          <w:t>приложению N 4.12</w:t>
        </w:r>
      </w:hyperlink>
      <w:r w:rsidRPr="00CC0ED4">
        <w:rPr>
          <w:color w:val="000000"/>
        </w:rPr>
        <w:t xml:space="preserve"> к настоящему решению;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 xml:space="preserve">5) оказание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метров, согласно </w:t>
      </w:r>
      <w:hyperlink w:anchor="P2608" w:history="1">
        <w:r w:rsidRPr="00CC0ED4">
          <w:rPr>
            <w:color w:val="000000"/>
          </w:rPr>
          <w:t>приложению N 5</w:t>
        </w:r>
      </w:hyperlink>
      <w:r w:rsidRPr="00CC0ED4">
        <w:rPr>
          <w:color w:val="000000"/>
        </w:rPr>
        <w:t xml:space="preserve"> к настоящему решению;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 xml:space="preserve">6) 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средств, согласно </w:t>
      </w:r>
      <w:hyperlink w:anchor="P2740" w:history="1">
        <w:r w:rsidRPr="00CC0ED4">
          <w:rPr>
            <w:color w:val="000000"/>
          </w:rPr>
          <w:t>приложению N 6</w:t>
        </w:r>
      </w:hyperlink>
      <w:r w:rsidRPr="00CC0ED4">
        <w:rPr>
          <w:color w:val="000000"/>
        </w:rPr>
        <w:t xml:space="preserve"> к настоящему решению;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 xml:space="preserve">7) оказание услуг по хранению автотранспортных средств на платных стоянках согласно </w:t>
      </w:r>
      <w:hyperlink w:anchor="P2771" w:history="1">
        <w:r w:rsidRPr="00CC0ED4">
          <w:rPr>
            <w:color w:val="000000"/>
          </w:rPr>
          <w:t>приложению N 7</w:t>
        </w:r>
      </w:hyperlink>
      <w:r w:rsidRPr="00CC0ED4">
        <w:rPr>
          <w:color w:val="000000"/>
        </w:rPr>
        <w:t xml:space="preserve"> к настоящему решению;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 xml:space="preserve">8) распространение и (или) размещение наружной рекламы согласно </w:t>
      </w:r>
      <w:hyperlink w:anchor="P2806" w:history="1">
        <w:r w:rsidRPr="00CC0ED4">
          <w:rPr>
            <w:color w:val="000000"/>
          </w:rPr>
          <w:t>приложению N 8</w:t>
        </w:r>
      </w:hyperlink>
      <w:r w:rsidRPr="00CC0ED4">
        <w:rPr>
          <w:color w:val="000000"/>
        </w:rPr>
        <w:t xml:space="preserve"> к настоящему решению;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 xml:space="preserve">9)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согласно </w:t>
      </w:r>
      <w:hyperlink w:anchor="P2906" w:history="1">
        <w:r w:rsidRPr="00CC0ED4">
          <w:rPr>
            <w:color w:val="000000"/>
          </w:rPr>
          <w:t>приложению N 9</w:t>
        </w:r>
      </w:hyperlink>
      <w:r w:rsidRPr="00CC0ED4">
        <w:rPr>
          <w:color w:val="000000"/>
        </w:rPr>
        <w:t>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 xml:space="preserve">10)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посетителей, согласно </w:t>
      </w:r>
      <w:hyperlink w:anchor="P3008" w:history="1">
        <w:r w:rsidRPr="00CC0ED4">
          <w:rPr>
            <w:color w:val="000000"/>
          </w:rPr>
          <w:t>приложению N 10</w:t>
        </w:r>
      </w:hyperlink>
      <w:r w:rsidRPr="00CC0ED4">
        <w:rPr>
          <w:color w:val="000000"/>
        </w:rPr>
        <w:t>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 xml:space="preserve">11) оказание услуг по передаче во временное владение и 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посетителей, согласно </w:t>
      </w:r>
      <w:hyperlink w:anchor="P3049" w:history="1">
        <w:r w:rsidRPr="00CC0ED4">
          <w:rPr>
            <w:color w:val="000000"/>
          </w:rPr>
          <w:t>приложению N 11</w:t>
        </w:r>
      </w:hyperlink>
      <w:r w:rsidRPr="00CC0ED4">
        <w:rPr>
          <w:color w:val="000000"/>
        </w:rPr>
        <w:t>.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 xml:space="preserve">Налогоплательщиками признаются организации и индивидуальные предприниматели, осуществляющие на территории муниципального образования предпринимательскую деятельность, облагаемую единым налогом. Считать, что розничная торговля - предпринимательская деятельность, связанная с торговлей товарами (в том числе за наличный расчет, а также с использованием платежных карт) на основе договоров розничной купли-продажи. К данному виду предпринимательской деятельности не относится реализация подакцизных товаров, указанных в </w:t>
      </w:r>
      <w:hyperlink r:id="rId9" w:history="1">
        <w:r w:rsidRPr="00CC0ED4">
          <w:rPr>
            <w:color w:val="000000"/>
          </w:rPr>
          <w:t>подпунктах 6</w:t>
        </w:r>
      </w:hyperlink>
      <w:r w:rsidRPr="00CC0ED4">
        <w:rPr>
          <w:color w:val="000000"/>
        </w:rPr>
        <w:t xml:space="preserve"> - </w:t>
      </w:r>
      <w:hyperlink r:id="rId10" w:history="1">
        <w:r w:rsidRPr="00CC0ED4">
          <w:rPr>
            <w:color w:val="000000"/>
          </w:rPr>
          <w:t>10 пункта 1 статьи 181</w:t>
        </w:r>
      </w:hyperlink>
      <w:r w:rsidRPr="00CC0ED4">
        <w:rPr>
          <w:color w:val="000000"/>
        </w:rPr>
        <w:t xml:space="preserve"> Налогового кодекса Российской Федерации, продуктов питания и напитков, в том числе алкогольных, как в упаковке и расфасовке изготовителя, так и без такой упаковки и расфасовки, в барах, ресторанах, кафе и других объектах организации общественного питания, невостребованных вещей в ломбардах, газа, грузовых и специальных автомобилей, прицепов, полуприцепов, прицепов-роспусков, автобусов любых типов, товаров по образцам и каталогам вне стационарной торговой сети (в том числе в виде почтовых отправлений (посылочная торговля), а также через телемагазины, телефонную связь и компьютерные сети), передача лекарственных препаратов по льготным (бесплатным) рецептам, а также продукции собственного производства (изготовления). 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11" w:history="1">
        <w:r w:rsidRPr="00CC0ED4">
          <w:rPr>
            <w:color w:val="000000"/>
          </w:rPr>
          <w:t>законом</w:t>
        </w:r>
      </w:hyperlink>
      <w:r w:rsidRPr="00CC0ED4">
        <w:rPr>
          <w:color w:val="000000"/>
        </w:rPr>
        <w:t xml:space="preserve">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12" w:history="1">
        <w:r w:rsidRPr="00CC0ED4">
          <w:rPr>
            <w:color w:val="000000"/>
          </w:rPr>
          <w:t>классификатора</w:t>
        </w:r>
      </w:hyperlink>
      <w:r w:rsidRPr="00CC0ED4">
        <w:rPr>
          <w:color w:val="000000"/>
        </w:rPr>
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Федерации, для целей налогообложения в виде единого налога на вмененный доход для отдельных видов деятельности не относится к розничной торговле. Реализация через торговые автоматы товаров и (или) продукции общественного питания, изготовленной в этих торговых автоматах, относится в целях налогообложения в виде единого налога на вмененный доход для отдельных видов деятельности к розничной торговле.</w:t>
      </w:r>
    </w:p>
    <w:p w:rsidR="00BA2E9A" w:rsidRPr="00CC0ED4" w:rsidRDefault="00BA2E9A">
      <w:pPr>
        <w:pStyle w:val="ConsPlusNormal"/>
        <w:jc w:val="both"/>
        <w:rPr>
          <w:color w:val="000000"/>
        </w:rPr>
      </w:pPr>
      <w:r w:rsidRPr="00CC0ED4">
        <w:rPr>
          <w:color w:val="000000"/>
        </w:rPr>
        <w:t xml:space="preserve">(абзац введен </w:t>
      </w:r>
      <w:hyperlink r:id="rId13" w:history="1">
        <w:r w:rsidRPr="00CC0ED4">
          <w:rPr>
            <w:color w:val="000000"/>
          </w:rPr>
          <w:t>Решением</w:t>
        </w:r>
      </w:hyperlink>
      <w:r w:rsidRPr="00CC0ED4">
        <w:rPr>
          <w:color w:val="000000"/>
        </w:rPr>
        <w:t xml:space="preserve"> Думы муниципального образования - Старожиловский муниципальный район Рязанской области от 25.11.2019 N 126)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>2. Выбор корректирующего коэффициента базовой доходности К2 производится в зависимости от вида (подвида) деятельности и места, в котором она осуществляется: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>1) при осуществлении деятельности по оказанию бытовых и ветеринарных услуг, услуг по ремонту, техническому обслуживанию и мойке автотранспортных средств, услуг по хранению автотранспортных средств на платных стоянках, распространению и (или) размещению наружной рекламы выбор корректирующего коэффициента К2 производится согласно типу населенного пункта (или вне его), в котором осуществляется деятельность: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>а) в п.г.т. Старожилово;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>б) в прочих населенных пунктах;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>в) вне населенных пунктов в пределах придорожной полосы дорог федерального, областного и местного значения;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>2) при осуществлении деятельности по розничной торговле, общественному питанию выбор корректирующего коэффициента К2 производится согласно типу населенного пункта (или вне его) и месту дислокации (зоне), в котором осуществляется деятельность: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>а) в городах, поселках городского типа с численностью населения менее 100 тыс. человек: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>- 1 зона - в пределах 400 метров от здания органа местного самоуправления (администрации муниципального образования - Старожиловский муниципальный район), на территории рынков (ярмарок), в пределах придорожной полосы дорог федерального и областного значения;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>- 2 зона - в других местах;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>б) в прочих населенных пунктах (вне зависимости от места дислокации);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>в) вне населенных пунктов в пределах придорожной полосы дорог федерального и областного значения;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>3) в случае если место осуществления деятельности отвечает более чем одному критерию, то следует применять корректирующий коэффициент К2 по графе с максимальным значением этого коэффициента.</w:t>
      </w:r>
    </w:p>
    <w:p w:rsidR="00BA2E9A" w:rsidRPr="00CC0ED4" w:rsidRDefault="00BA2E9A">
      <w:pPr>
        <w:pStyle w:val="ConsPlusNormal"/>
        <w:spacing w:before="220"/>
        <w:ind w:firstLine="540"/>
        <w:jc w:val="both"/>
        <w:rPr>
          <w:color w:val="000000"/>
        </w:rPr>
      </w:pPr>
      <w:r w:rsidRPr="00CC0ED4">
        <w:rPr>
          <w:color w:val="000000"/>
        </w:rPr>
        <w:t>3. Настоящее решение подлежит опубликованию в Информационном бюллетене муниципального образования - Старожиловский муниципальный район и вступает в силу с 1 января 2020 года.</w:t>
      </w:r>
    </w:p>
    <w:p w:rsidR="00BA2E9A" w:rsidRPr="00CC0ED4" w:rsidRDefault="00BA2E9A">
      <w:pPr>
        <w:pStyle w:val="ConsPlusNormal"/>
        <w:jc w:val="both"/>
        <w:rPr>
          <w:color w:val="000000"/>
        </w:rPr>
      </w:pPr>
    </w:p>
    <w:p w:rsidR="00BA2E9A" w:rsidRPr="00CC0ED4" w:rsidRDefault="00BA2E9A">
      <w:pPr>
        <w:pStyle w:val="ConsPlusNormal"/>
        <w:jc w:val="right"/>
        <w:rPr>
          <w:color w:val="000000"/>
        </w:rPr>
      </w:pPr>
      <w:r w:rsidRPr="00CC0ED4">
        <w:rPr>
          <w:color w:val="000000"/>
        </w:rPr>
        <w:t>Глава Старожиловского</w:t>
      </w:r>
    </w:p>
    <w:p w:rsidR="00BA2E9A" w:rsidRPr="00CC0ED4" w:rsidRDefault="00BA2E9A">
      <w:pPr>
        <w:pStyle w:val="ConsPlusNormal"/>
        <w:jc w:val="right"/>
        <w:rPr>
          <w:color w:val="000000"/>
        </w:rPr>
      </w:pPr>
      <w:r w:rsidRPr="00CC0ED4">
        <w:rPr>
          <w:color w:val="000000"/>
        </w:rPr>
        <w:t>муниципального Района,</w:t>
      </w:r>
    </w:p>
    <w:p w:rsidR="00BA2E9A" w:rsidRPr="00CC0ED4" w:rsidRDefault="00BA2E9A">
      <w:pPr>
        <w:pStyle w:val="ConsPlusNormal"/>
        <w:jc w:val="right"/>
        <w:rPr>
          <w:color w:val="000000"/>
        </w:rPr>
      </w:pPr>
      <w:r w:rsidRPr="00CC0ED4">
        <w:rPr>
          <w:color w:val="000000"/>
        </w:rPr>
        <w:t>председатель Думы</w:t>
      </w:r>
    </w:p>
    <w:p w:rsidR="00BA2E9A" w:rsidRPr="00CC0ED4" w:rsidRDefault="00BA2E9A">
      <w:pPr>
        <w:pStyle w:val="ConsPlusNormal"/>
        <w:jc w:val="right"/>
        <w:rPr>
          <w:color w:val="000000"/>
        </w:rPr>
      </w:pPr>
      <w:r w:rsidRPr="00CC0ED4">
        <w:rPr>
          <w:color w:val="000000"/>
        </w:rPr>
        <w:t>Старожиловского</w:t>
      </w:r>
    </w:p>
    <w:p w:rsidR="00BA2E9A" w:rsidRPr="00CC0ED4" w:rsidRDefault="00BA2E9A">
      <w:pPr>
        <w:pStyle w:val="ConsPlusNormal"/>
        <w:jc w:val="right"/>
        <w:rPr>
          <w:color w:val="000000"/>
        </w:rPr>
      </w:pPr>
      <w:r w:rsidRPr="00CC0ED4">
        <w:rPr>
          <w:color w:val="000000"/>
        </w:rPr>
        <w:t>муниципального района</w:t>
      </w:r>
    </w:p>
    <w:p w:rsidR="00BA2E9A" w:rsidRPr="00CC0ED4" w:rsidRDefault="00BA2E9A">
      <w:pPr>
        <w:pStyle w:val="ConsPlusNormal"/>
        <w:jc w:val="right"/>
        <w:rPr>
          <w:color w:val="000000"/>
        </w:rPr>
      </w:pPr>
      <w:r w:rsidRPr="00CC0ED4">
        <w:rPr>
          <w:color w:val="000000"/>
        </w:rPr>
        <w:t>И.М.ШЕРНЯЕВ</w:t>
      </w:r>
    </w:p>
    <w:p w:rsidR="00BA2E9A" w:rsidRPr="00CC0ED4" w:rsidRDefault="00BA2E9A">
      <w:pPr>
        <w:pStyle w:val="ConsPlusNormal"/>
        <w:jc w:val="both"/>
        <w:rPr>
          <w:color w:val="000000"/>
        </w:rPr>
      </w:pPr>
    </w:p>
    <w:p w:rsidR="00BA2E9A" w:rsidRPr="00CC0ED4" w:rsidRDefault="00BA2E9A">
      <w:pPr>
        <w:pStyle w:val="ConsPlusNormal"/>
        <w:jc w:val="both"/>
        <w:rPr>
          <w:color w:val="000000"/>
        </w:rPr>
      </w:pPr>
    </w:p>
    <w:p w:rsidR="00BA2E9A" w:rsidRPr="00CC0ED4" w:rsidRDefault="00BA2E9A">
      <w:pPr>
        <w:pStyle w:val="ConsPlusNormal"/>
        <w:jc w:val="both"/>
        <w:rPr>
          <w:color w:val="000000"/>
        </w:rPr>
      </w:pPr>
    </w:p>
    <w:p w:rsidR="00BA2E9A" w:rsidRPr="00CC0ED4" w:rsidRDefault="00BA2E9A">
      <w:pPr>
        <w:pStyle w:val="ConsPlusNormal"/>
        <w:jc w:val="both"/>
        <w:rPr>
          <w:color w:val="000000"/>
        </w:rPr>
      </w:pPr>
    </w:p>
    <w:p w:rsidR="00BA2E9A" w:rsidRPr="00CC0ED4" w:rsidRDefault="00BA2E9A">
      <w:pPr>
        <w:pStyle w:val="ConsPlusNormal"/>
        <w:jc w:val="both"/>
        <w:rPr>
          <w:color w:val="000000"/>
        </w:rPr>
      </w:pPr>
    </w:p>
    <w:sectPr w:rsidR="00BA2E9A" w:rsidRPr="00CC0ED4" w:rsidSect="00CC0ED4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D21"/>
    <w:rsid w:val="00006F5A"/>
    <w:rsid w:val="000B4E3D"/>
    <w:rsid w:val="00391D21"/>
    <w:rsid w:val="00635EA4"/>
    <w:rsid w:val="00BA2E9A"/>
    <w:rsid w:val="00CC0ED4"/>
    <w:rsid w:val="00E07F8D"/>
    <w:rsid w:val="00E223E3"/>
    <w:rsid w:val="00E273D0"/>
    <w:rsid w:val="00F33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3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91D2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391D2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91D2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391D2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91D2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391D2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91D2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391D21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E2305018CDF7F18EAFBC084ECE1105A15A71F59AC374C4E2BF3D57E0F8263D28D485076DDE6EC63B94CDF82EJAp0J" TargetMode="External"/><Relationship Id="rId13" Type="http://schemas.openxmlformats.org/officeDocument/2006/relationships/hyperlink" Target="consultantplus://offline/ref=BCE2305018CDF7F18EAFA20558A24F0FA1522EF19FCC7994B8EF3B00BFA820687A94DB5E2C927DC73A8ACFF82AABED5D4F492B55F228B5B849B4E849J9pB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E2305018CDF7F18EAFBC084ECE1105A15D70FB9AC074C4E2BF3D57E0F8263D28D485076DDE6EC63B94CDF82EJAp0J" TargetMode="External"/><Relationship Id="rId12" Type="http://schemas.openxmlformats.org/officeDocument/2006/relationships/hyperlink" Target="consultantplus://offline/ref=BCE2305018CDF7F18EAFBC084ECE1105A15A71F59AC374C4E2BF3D57E0F8263D28D485076DDE6EC63B94CDF82EJAp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E2305018CDF7F18EAFA20558A24F0FA1522EF19FCC7997BFEC3B00BFA820687A94DB5E2C927DC73A8ACBFD24ABED5D4F492B55F228B5B849B4E849J9pBJ" TargetMode="External"/><Relationship Id="rId11" Type="http://schemas.openxmlformats.org/officeDocument/2006/relationships/hyperlink" Target="consultantplus://offline/ref=BCE2305018CDF7F18EAFBC084ECE1105A15D72FC9DC374C4E2BF3D57E0F8263D28D485076DDE6EC63B94CDF82EJAp0J" TargetMode="External"/><Relationship Id="rId5" Type="http://schemas.openxmlformats.org/officeDocument/2006/relationships/hyperlink" Target="consultantplus://offline/ref=BCE2305018CDF7F18EAFA20558A24F0FA1522EF199C57F91BAE0660AB7F12C6A7D9B84492BDB71C63A8ACBF927F4E8485E11245FE436B4A755B6EAJ4pB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CE2305018CDF7F18EAFBC084ECE1105A15B76FA94C174C4E2BF3D57E0F8263D3AD4DD0B6EDF77C731DE9EBC79ADBB04151C2749F836B7JBp9J" TargetMode="External"/><Relationship Id="rId4" Type="http://schemas.openxmlformats.org/officeDocument/2006/relationships/hyperlink" Target="consultantplus://offline/ref=BCE2305018CDF7F18EAFA20558A24F0FA1522EF19FCC7994B8EF3B00BFA820687A94DB5E2C927DC73A8ACFF829ABED5D4F492B55F228B5B849B4E849J9pBJ" TargetMode="External"/><Relationship Id="rId9" Type="http://schemas.openxmlformats.org/officeDocument/2006/relationships/hyperlink" Target="consultantplus://offline/ref=BCE2305018CDF7F18EAFBC084ECE1105A15B76FA94C174C4E2BF3D57E0F8263D3AD4DD0C6EDE79CD6EDB8BAD21A2B1120B1D3855FA34JBp5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2164</Words>
  <Characters>12339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2020-01-31T07:35:00Z</dcterms:created>
  <dcterms:modified xsi:type="dcterms:W3CDTF">2020-01-31T07:36:00Z</dcterms:modified>
</cp:coreProperties>
</file>